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694"/>
        <w:gridCol w:w="4677"/>
        <w:gridCol w:w="1985"/>
      </w:tblGrid>
      <w:tr w:rsidR="005B4BA8" w:rsidRPr="005B4BA8" w:rsidTr="000F2DE3">
        <w:trPr>
          <w:trHeight w:val="557"/>
        </w:trPr>
        <w:tc>
          <w:tcPr>
            <w:tcW w:w="2694" w:type="dxa"/>
          </w:tcPr>
          <w:p w:rsidR="005B4BA8" w:rsidRPr="005B4BA8" w:rsidRDefault="00800C3B" w:rsidP="00800C3B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Board Meeting</w:t>
            </w:r>
            <w:r w:rsidR="003B39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B4BA8" w:rsidRPr="005B4BA8" w:rsidRDefault="00800C3B" w:rsidP="00800C3B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6 December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981075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0F2DE3">
        <w:trPr>
          <w:trHeight w:val="1091"/>
        </w:trPr>
        <w:tc>
          <w:tcPr>
            <w:tcW w:w="2694" w:type="dxa"/>
          </w:tcPr>
          <w:p w:rsidR="00614B64" w:rsidRDefault="00614B64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677" w:type="dxa"/>
          </w:tcPr>
          <w:p w:rsidR="00614B64" w:rsidRDefault="00614B64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B4BA8" w:rsidRPr="005B4BA8" w:rsidRDefault="00CF1D80" w:rsidP="00AE7A93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Procurement Strategy </w:t>
            </w:r>
            <w:r w:rsidR="00AE7A93">
              <w:rPr>
                <w:rFonts w:ascii="Arial" w:hAnsi="Arial" w:cs="Arial"/>
                <w:b w:val="0"/>
                <w:sz w:val="24"/>
                <w:szCs w:val="24"/>
              </w:rPr>
              <w:t>201</w:t>
            </w:r>
            <w:r w:rsidR="005935A7">
              <w:rPr>
                <w:rFonts w:ascii="Arial" w:hAnsi="Arial" w:cs="Arial"/>
                <w:b w:val="0"/>
                <w:sz w:val="24"/>
                <w:szCs w:val="24"/>
              </w:rPr>
              <w:t>8-</w:t>
            </w:r>
            <w:r w:rsidR="00AE7A93"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21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0F2DE3">
        <w:trPr>
          <w:trHeight w:val="499"/>
        </w:trPr>
        <w:tc>
          <w:tcPr>
            <w:tcW w:w="2694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662" w:type="dxa"/>
            <w:gridSpan w:val="2"/>
          </w:tcPr>
          <w:p w:rsidR="005B4BA8" w:rsidRDefault="00800C3B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members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935A7" w:rsidP="005B4BA8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5B4BA8" w:rsidP="00614B64">
                  <w:pPr>
                    <w:spacing w:before="120" w:after="60"/>
                    <w:contextualSpacing/>
                    <w:jc w:val="center"/>
                  </w:pP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</w:tbl>
    <w:p w:rsidR="005935A7" w:rsidRDefault="005935A7" w:rsidP="005935A7">
      <w:pPr>
        <w:pStyle w:val="Heading2"/>
        <w:tabs>
          <w:tab w:val="left" w:pos="9026"/>
        </w:tabs>
        <w:ind w:right="-33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______________________________________________________________________</w:t>
      </w:r>
    </w:p>
    <w:p w:rsidR="005935A7" w:rsidRDefault="005935A7" w:rsidP="005935A7">
      <w:pPr>
        <w:pStyle w:val="Heading2"/>
        <w:spacing w:before="0" w:after="0"/>
        <w:ind w:right="183"/>
        <w:rPr>
          <w:i w:val="0"/>
          <w:sz w:val="24"/>
          <w:szCs w:val="24"/>
        </w:rPr>
      </w:pPr>
    </w:p>
    <w:p w:rsidR="005239DB" w:rsidRPr="001175E5" w:rsidRDefault="005239DB" w:rsidP="005935A7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5935A7" w:rsidRDefault="005935A7" w:rsidP="005935A7">
      <w:pPr>
        <w:ind w:left="720"/>
        <w:rPr>
          <w:rFonts w:ascii="Arial" w:hAnsi="Arial" w:cs="Arial"/>
          <w:bCs/>
        </w:rPr>
      </w:pPr>
    </w:p>
    <w:p w:rsidR="00614B64" w:rsidRDefault="003B396D" w:rsidP="005935A7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Procurement R</w:t>
      </w:r>
      <w:r w:rsidR="00881D00" w:rsidRPr="00765AB2">
        <w:rPr>
          <w:rFonts w:ascii="Arial" w:hAnsi="Arial" w:cs="Arial"/>
          <w:bCs/>
        </w:rPr>
        <w:t xml:space="preserve">eform </w:t>
      </w:r>
      <w:r>
        <w:rPr>
          <w:rFonts w:ascii="Arial" w:hAnsi="Arial" w:cs="Arial"/>
          <w:bCs/>
        </w:rPr>
        <w:t>A</w:t>
      </w:r>
      <w:r w:rsidR="00881D00" w:rsidRPr="00765AB2">
        <w:rPr>
          <w:rFonts w:ascii="Arial" w:hAnsi="Arial" w:cs="Arial"/>
          <w:bCs/>
        </w:rPr>
        <w:t>ct (Scotland) 2014</w:t>
      </w:r>
      <w:r w:rsidR="00614B64">
        <w:rPr>
          <w:rFonts w:ascii="Arial" w:hAnsi="Arial" w:cs="Arial"/>
          <w:b/>
          <w:bCs/>
        </w:rPr>
        <w:t xml:space="preserve"> </w:t>
      </w:r>
      <w:r w:rsidR="00614B64">
        <w:rPr>
          <w:rFonts w:ascii="Arial" w:hAnsi="Arial" w:cs="Arial"/>
          <w:bCs/>
        </w:rPr>
        <w:t>requires</w:t>
      </w:r>
      <w:r w:rsidR="00881D00" w:rsidRPr="00765AB2">
        <w:rPr>
          <w:rFonts w:ascii="Arial" w:hAnsi="Arial" w:cs="Arial"/>
          <w:bCs/>
        </w:rPr>
        <w:t xml:space="preserve"> all </w:t>
      </w:r>
      <w:r w:rsidR="00614B64">
        <w:rPr>
          <w:rFonts w:ascii="Arial" w:hAnsi="Arial" w:cs="Arial"/>
          <w:bCs/>
        </w:rPr>
        <w:t>Public B</w:t>
      </w:r>
      <w:r w:rsidR="00881D00" w:rsidRPr="00765AB2">
        <w:rPr>
          <w:rFonts w:ascii="Arial" w:hAnsi="Arial" w:cs="Arial"/>
          <w:bCs/>
        </w:rPr>
        <w:t>odies</w:t>
      </w:r>
      <w:r w:rsidR="00614B64">
        <w:rPr>
          <w:rFonts w:ascii="Arial" w:hAnsi="Arial" w:cs="Arial"/>
          <w:bCs/>
        </w:rPr>
        <w:t xml:space="preserve"> in Scotland with </w:t>
      </w:r>
      <w:r w:rsidR="00881D00" w:rsidRPr="00765AB2">
        <w:rPr>
          <w:rFonts w:ascii="Arial" w:hAnsi="Arial" w:cs="Arial"/>
          <w:bCs/>
        </w:rPr>
        <w:t xml:space="preserve">annual </w:t>
      </w:r>
      <w:r w:rsidR="00614B64">
        <w:rPr>
          <w:rFonts w:ascii="Arial" w:hAnsi="Arial" w:cs="Arial"/>
          <w:bCs/>
        </w:rPr>
        <w:t xml:space="preserve">non pay expenditure </w:t>
      </w:r>
      <w:r w:rsidR="00881D00" w:rsidRPr="00765AB2">
        <w:rPr>
          <w:rFonts w:ascii="Arial" w:hAnsi="Arial" w:cs="Arial"/>
          <w:bCs/>
        </w:rPr>
        <w:t>in exce</w:t>
      </w:r>
      <w:r w:rsidR="00614B64">
        <w:rPr>
          <w:rFonts w:ascii="Arial" w:hAnsi="Arial" w:cs="Arial"/>
          <w:bCs/>
        </w:rPr>
        <w:t>ss of £5,000,000 to produce and publish</w:t>
      </w:r>
      <w:r w:rsidR="00881D00" w:rsidRPr="00765AB2">
        <w:rPr>
          <w:rFonts w:ascii="Arial" w:hAnsi="Arial" w:cs="Arial"/>
          <w:bCs/>
        </w:rPr>
        <w:t xml:space="preserve"> a Procurement Strategy and an </w:t>
      </w:r>
      <w:r>
        <w:rPr>
          <w:rFonts w:ascii="Arial" w:hAnsi="Arial" w:cs="Arial"/>
          <w:bCs/>
        </w:rPr>
        <w:t>A</w:t>
      </w:r>
      <w:r w:rsidR="00881D00" w:rsidRPr="00765AB2">
        <w:rPr>
          <w:rFonts w:ascii="Arial" w:hAnsi="Arial" w:cs="Arial"/>
          <w:bCs/>
        </w:rPr>
        <w:t xml:space="preserve">nnual </w:t>
      </w:r>
      <w:r>
        <w:rPr>
          <w:rFonts w:ascii="Arial" w:hAnsi="Arial" w:cs="Arial"/>
          <w:bCs/>
        </w:rPr>
        <w:t>R</w:t>
      </w:r>
      <w:r w:rsidR="00881D00" w:rsidRPr="00765AB2">
        <w:rPr>
          <w:rFonts w:ascii="Arial" w:hAnsi="Arial" w:cs="Arial"/>
          <w:bCs/>
        </w:rPr>
        <w:t>eport</w:t>
      </w:r>
      <w:r w:rsidR="00614B64">
        <w:rPr>
          <w:rFonts w:ascii="Arial" w:hAnsi="Arial" w:cs="Arial"/>
          <w:bCs/>
        </w:rPr>
        <w:t xml:space="preserve"> and to </w:t>
      </w:r>
      <w:r w:rsidR="004B43D9">
        <w:rPr>
          <w:rFonts w:ascii="Arial" w:hAnsi="Arial" w:cs="Arial"/>
          <w:bCs/>
        </w:rPr>
        <w:t>notify the Scottish Ministers of their publication.</w:t>
      </w:r>
      <w:r w:rsidR="00881D00">
        <w:rPr>
          <w:rFonts w:ascii="Arial" w:hAnsi="Arial" w:cs="Arial"/>
          <w:bCs/>
        </w:rPr>
        <w:t xml:space="preserve"> </w:t>
      </w:r>
    </w:p>
    <w:p w:rsidR="00614B64" w:rsidRDefault="00614B64" w:rsidP="005935A7">
      <w:pPr>
        <w:ind w:left="720"/>
        <w:rPr>
          <w:rFonts w:ascii="Arial" w:hAnsi="Arial" w:cs="Arial"/>
          <w:bCs/>
        </w:rPr>
      </w:pPr>
    </w:p>
    <w:p w:rsidR="00881D00" w:rsidRPr="00765AB2" w:rsidRDefault="00881D00" w:rsidP="005935A7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614B64">
        <w:rPr>
          <w:rFonts w:ascii="Arial" w:hAnsi="Arial" w:cs="Arial"/>
          <w:bCs/>
        </w:rPr>
        <w:t>his Procurement Strategy covers the</w:t>
      </w:r>
      <w:r w:rsidRPr="00765AB2">
        <w:rPr>
          <w:rFonts w:ascii="Arial" w:hAnsi="Arial" w:cs="Arial"/>
          <w:bCs/>
        </w:rPr>
        <w:t xml:space="preserve"> three year period </w:t>
      </w:r>
      <w:r w:rsidR="00614B64">
        <w:rPr>
          <w:rFonts w:ascii="Arial" w:hAnsi="Arial" w:cs="Arial"/>
          <w:bCs/>
        </w:rPr>
        <w:t xml:space="preserve">2018 </w:t>
      </w:r>
      <w:r w:rsidR="004B43D9">
        <w:rPr>
          <w:rFonts w:ascii="Arial" w:hAnsi="Arial" w:cs="Arial"/>
          <w:bCs/>
        </w:rPr>
        <w:t>-2021 and will be subject to</w:t>
      </w:r>
      <w:r w:rsidR="00614B64">
        <w:rPr>
          <w:rFonts w:ascii="Arial" w:hAnsi="Arial" w:cs="Arial"/>
          <w:bCs/>
        </w:rPr>
        <w:t xml:space="preserve"> </w:t>
      </w:r>
      <w:r w:rsidRPr="00765AB2">
        <w:rPr>
          <w:rFonts w:ascii="Arial" w:hAnsi="Arial" w:cs="Arial"/>
          <w:bCs/>
        </w:rPr>
        <w:t>annual review</w:t>
      </w:r>
      <w:r w:rsidR="004B43D9">
        <w:rPr>
          <w:rFonts w:ascii="Arial" w:hAnsi="Arial" w:cs="Arial"/>
          <w:bCs/>
        </w:rPr>
        <w:t>.</w:t>
      </w:r>
      <w:r w:rsidR="00421B2A">
        <w:rPr>
          <w:rFonts w:ascii="Arial" w:hAnsi="Arial" w:cs="Arial"/>
          <w:bCs/>
        </w:rPr>
        <w:t xml:space="preserve"> The Annual Report details all Regulated Procurements completed within the previous financial year together with all Regulated Procurements planned within the next 12/24 months. To</w:t>
      </w:r>
      <w:r w:rsidR="00614B64">
        <w:rPr>
          <w:rFonts w:ascii="Arial" w:hAnsi="Arial" w:cs="Arial"/>
          <w:bCs/>
        </w:rPr>
        <w:t xml:space="preserve"> comply with the requirement to publish both reports, the publication</w:t>
      </w:r>
      <w:r w:rsidR="00421B2A">
        <w:rPr>
          <w:rFonts w:ascii="Arial" w:hAnsi="Arial" w:cs="Arial"/>
          <w:bCs/>
        </w:rPr>
        <w:t>s</w:t>
      </w:r>
      <w:r w:rsidR="00614B64">
        <w:rPr>
          <w:rFonts w:ascii="Arial" w:hAnsi="Arial" w:cs="Arial"/>
          <w:bCs/>
        </w:rPr>
        <w:t xml:space="preserve"> will be </w:t>
      </w:r>
      <w:r w:rsidR="00421B2A">
        <w:rPr>
          <w:rFonts w:ascii="Arial" w:hAnsi="Arial" w:cs="Arial"/>
          <w:bCs/>
        </w:rPr>
        <w:t xml:space="preserve">placed </w:t>
      </w:r>
      <w:r w:rsidR="00614B64">
        <w:rPr>
          <w:rFonts w:ascii="Arial" w:hAnsi="Arial" w:cs="Arial"/>
          <w:bCs/>
        </w:rPr>
        <w:t xml:space="preserve">on the GJF website in an area accessible for public view.  </w:t>
      </w:r>
      <w:r>
        <w:rPr>
          <w:rFonts w:ascii="Arial" w:hAnsi="Arial" w:cs="Arial"/>
          <w:bCs/>
        </w:rPr>
        <w:t xml:space="preserve"> </w:t>
      </w:r>
      <w:r w:rsidR="00334565" w:rsidRPr="00765AB2">
        <w:rPr>
          <w:rFonts w:ascii="Arial" w:hAnsi="Arial" w:cs="Arial"/>
          <w:bCs/>
        </w:rPr>
        <w:t xml:space="preserve"> </w:t>
      </w:r>
    </w:p>
    <w:p w:rsidR="005239DB" w:rsidRDefault="005239DB" w:rsidP="005935A7">
      <w:pPr>
        <w:pStyle w:val="Default"/>
        <w:ind w:left="720"/>
        <w:rPr>
          <w:rFonts w:ascii="Arial" w:hAnsi="Arial" w:cs="Arial"/>
        </w:rPr>
      </w:pPr>
    </w:p>
    <w:p w:rsidR="005935A7" w:rsidRPr="001175E5" w:rsidRDefault="005935A7" w:rsidP="005935A7">
      <w:pPr>
        <w:pStyle w:val="Default"/>
        <w:ind w:left="720"/>
        <w:rPr>
          <w:rFonts w:ascii="Arial" w:hAnsi="Arial" w:cs="Arial"/>
        </w:rPr>
      </w:pPr>
    </w:p>
    <w:p w:rsidR="00881D00" w:rsidRDefault="005239DB" w:rsidP="005935A7">
      <w:pPr>
        <w:jc w:val="both"/>
        <w:rPr>
          <w:rFonts w:ascii="Arial" w:hAnsi="Arial" w:cs="Arial"/>
          <w:b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</w:r>
      <w:r w:rsidR="00457D74">
        <w:rPr>
          <w:rFonts w:ascii="Arial" w:hAnsi="Arial" w:cs="Arial"/>
          <w:b/>
        </w:rPr>
        <w:t>Procurement Strategy 2018-2021</w:t>
      </w:r>
    </w:p>
    <w:p w:rsidR="005935A7" w:rsidRPr="000F2704" w:rsidRDefault="005935A7" w:rsidP="005935A7">
      <w:pPr>
        <w:jc w:val="both"/>
        <w:rPr>
          <w:rFonts w:ascii="Arial" w:hAnsi="Arial" w:cs="Arial"/>
          <w:b/>
        </w:rPr>
      </w:pPr>
    </w:p>
    <w:p w:rsidR="00881D00" w:rsidRDefault="004B43D9" w:rsidP="005935A7">
      <w:pPr>
        <w:pStyle w:val="Default"/>
        <w:ind w:left="720"/>
        <w:rPr>
          <w:rFonts w:ascii="Arial" w:hAnsi="Arial" w:cs="Arial"/>
        </w:rPr>
      </w:pPr>
      <w:r>
        <w:rPr>
          <w:rFonts w:ascii="Arial" w:hAnsi="Arial" w:cs="Arial"/>
        </w:rPr>
        <w:t>This update to the</w:t>
      </w:r>
      <w:r w:rsidR="00881D00">
        <w:rPr>
          <w:rFonts w:ascii="Arial" w:hAnsi="Arial" w:cs="Arial"/>
        </w:rPr>
        <w:t xml:space="preserve"> previously approved Procurement Strategy has been </w:t>
      </w:r>
      <w:r>
        <w:rPr>
          <w:rFonts w:ascii="Arial" w:hAnsi="Arial" w:cs="Arial"/>
        </w:rPr>
        <w:t>the subject of</w:t>
      </w:r>
      <w:r w:rsidR="00881D00">
        <w:rPr>
          <w:rFonts w:ascii="Arial" w:hAnsi="Arial" w:cs="Arial"/>
        </w:rPr>
        <w:t xml:space="preserve"> revision </w:t>
      </w:r>
      <w:r w:rsidR="00334565">
        <w:rPr>
          <w:rFonts w:ascii="Arial" w:hAnsi="Arial" w:cs="Arial"/>
        </w:rPr>
        <w:t>and now</w:t>
      </w:r>
      <w:r w:rsidR="00881D00">
        <w:rPr>
          <w:rFonts w:ascii="Arial" w:hAnsi="Arial" w:cs="Arial"/>
        </w:rPr>
        <w:t xml:space="preserve"> includes </w:t>
      </w:r>
      <w:r>
        <w:rPr>
          <w:rFonts w:ascii="Arial" w:hAnsi="Arial" w:cs="Arial"/>
        </w:rPr>
        <w:t xml:space="preserve">an </w:t>
      </w:r>
      <w:r w:rsidR="005935A7">
        <w:rPr>
          <w:rFonts w:ascii="Arial" w:hAnsi="Arial" w:cs="Arial"/>
        </w:rPr>
        <w:t>update on:</w:t>
      </w:r>
    </w:p>
    <w:p w:rsidR="005935A7" w:rsidRDefault="005935A7" w:rsidP="005935A7">
      <w:pPr>
        <w:pStyle w:val="Default"/>
        <w:ind w:left="720"/>
        <w:rPr>
          <w:rFonts w:ascii="Arial" w:hAnsi="Arial" w:cs="Arial"/>
        </w:rPr>
      </w:pPr>
    </w:p>
    <w:p w:rsidR="00881D00" w:rsidRDefault="00881D00" w:rsidP="005935A7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Vision and role of Procurement</w:t>
      </w:r>
    </w:p>
    <w:p w:rsidR="00881D00" w:rsidRDefault="003B396D" w:rsidP="005935A7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Procurement p</w:t>
      </w:r>
      <w:r w:rsidR="00334565">
        <w:rPr>
          <w:rFonts w:ascii="Arial" w:hAnsi="Arial" w:cs="Arial"/>
        </w:rPr>
        <w:t>olicies</w:t>
      </w:r>
    </w:p>
    <w:p w:rsidR="00881D00" w:rsidRDefault="00881D00" w:rsidP="005935A7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summary of key priorities over the next </w:t>
      </w:r>
      <w:r w:rsidR="00334565">
        <w:rPr>
          <w:rFonts w:ascii="Arial" w:hAnsi="Arial" w:cs="Arial"/>
        </w:rPr>
        <w:t>3 years</w:t>
      </w:r>
    </w:p>
    <w:p w:rsidR="005B4BA8" w:rsidRDefault="00334565" w:rsidP="005935A7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Annual Procurement Report</w:t>
      </w:r>
    </w:p>
    <w:p w:rsidR="005935A7" w:rsidRDefault="005935A7" w:rsidP="005935A7">
      <w:pPr>
        <w:ind w:left="1080"/>
        <w:jc w:val="both"/>
        <w:rPr>
          <w:rFonts w:ascii="Arial" w:hAnsi="Arial" w:cs="Arial"/>
        </w:rPr>
      </w:pPr>
    </w:p>
    <w:p w:rsidR="005935A7" w:rsidRPr="00614B64" w:rsidRDefault="005935A7" w:rsidP="005935A7">
      <w:pPr>
        <w:ind w:left="1080"/>
        <w:jc w:val="both"/>
        <w:rPr>
          <w:rFonts w:ascii="Arial" w:hAnsi="Arial" w:cs="Arial"/>
        </w:rPr>
      </w:pPr>
    </w:p>
    <w:p w:rsidR="005239DB" w:rsidRDefault="00334565" w:rsidP="005935A7">
      <w:pPr>
        <w:pStyle w:val="Heading3"/>
        <w:spacing w:before="0" w:after="0"/>
        <w:ind w:right="183"/>
        <w:rPr>
          <w:sz w:val="24"/>
          <w:szCs w:val="24"/>
        </w:rPr>
      </w:pPr>
      <w:r>
        <w:rPr>
          <w:sz w:val="24"/>
          <w:szCs w:val="24"/>
        </w:rPr>
        <w:t>3</w:t>
      </w:r>
      <w:r w:rsidR="005239DB" w:rsidRPr="001175E5">
        <w:rPr>
          <w:sz w:val="24"/>
          <w:szCs w:val="24"/>
        </w:rPr>
        <w:tab/>
        <w:t>Consultation</w:t>
      </w:r>
    </w:p>
    <w:p w:rsidR="005935A7" w:rsidRPr="005935A7" w:rsidRDefault="005935A7" w:rsidP="005935A7"/>
    <w:p w:rsidR="005B4BA8" w:rsidRPr="00334565" w:rsidRDefault="00334565" w:rsidP="005935A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policy has been shared with senior service stakeholders for review and comment</w:t>
      </w:r>
      <w:r w:rsidR="004B43D9">
        <w:rPr>
          <w:rFonts w:ascii="Arial" w:hAnsi="Arial" w:cs="Arial"/>
          <w:bCs/>
        </w:rPr>
        <w:t>.</w:t>
      </w:r>
      <w:r w:rsidR="000F2DE3">
        <w:rPr>
          <w:rFonts w:ascii="Arial" w:hAnsi="Arial" w:cs="Arial"/>
          <w:bCs/>
        </w:rPr>
        <w:t xml:space="preserve"> This was also presented to the Audit and Risk Committee for comment and received positive feedback.</w:t>
      </w:r>
    </w:p>
    <w:p w:rsidR="005239DB" w:rsidRDefault="005239DB" w:rsidP="005935A7">
      <w:pPr>
        <w:ind w:right="183"/>
        <w:rPr>
          <w:rFonts w:ascii="Arial" w:hAnsi="Arial" w:cs="Arial"/>
          <w:b/>
          <w:bCs/>
        </w:rPr>
      </w:pPr>
    </w:p>
    <w:p w:rsidR="005239DB" w:rsidRDefault="00334565" w:rsidP="005935A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935A7" w:rsidRPr="001175E5" w:rsidRDefault="005935A7" w:rsidP="005935A7">
      <w:pPr>
        <w:ind w:right="183"/>
        <w:rPr>
          <w:rFonts w:ascii="Arial" w:hAnsi="Arial" w:cs="Arial"/>
          <w:b/>
          <w:bCs/>
        </w:rPr>
      </w:pPr>
    </w:p>
    <w:p w:rsidR="005239DB" w:rsidRDefault="00334565" w:rsidP="005935A7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Members are requested to </w:t>
      </w:r>
      <w:r w:rsidR="00DD6B58">
        <w:rPr>
          <w:rFonts w:ascii="Arial" w:hAnsi="Arial" w:cs="Arial"/>
        </w:rPr>
        <w:t>discuss and approve</w:t>
      </w:r>
      <w:r w:rsidR="00DA2D59">
        <w:rPr>
          <w:rFonts w:ascii="Arial" w:hAnsi="Arial" w:cs="Arial"/>
        </w:rPr>
        <w:t xml:space="preserve"> the</w:t>
      </w:r>
      <w:r w:rsidR="003B396D">
        <w:rPr>
          <w:rFonts w:ascii="Arial" w:hAnsi="Arial" w:cs="Arial"/>
        </w:rPr>
        <w:t xml:space="preserve"> Procurement </w:t>
      </w:r>
      <w:r>
        <w:rPr>
          <w:rFonts w:ascii="Arial" w:hAnsi="Arial" w:cs="Arial"/>
        </w:rPr>
        <w:t xml:space="preserve">Strategy </w:t>
      </w:r>
      <w:r w:rsidR="005935A7">
        <w:rPr>
          <w:rFonts w:ascii="Arial" w:hAnsi="Arial" w:cs="Arial"/>
        </w:rPr>
        <w:t>2018-2021.</w:t>
      </w:r>
    </w:p>
    <w:p w:rsidR="003B396D" w:rsidRDefault="003B396D" w:rsidP="005935A7">
      <w:pPr>
        <w:ind w:right="183"/>
        <w:rPr>
          <w:rFonts w:ascii="Arial" w:hAnsi="Arial" w:cs="Arial"/>
          <w:bCs/>
        </w:rPr>
      </w:pPr>
    </w:p>
    <w:p w:rsidR="005935A7" w:rsidRDefault="005935A7" w:rsidP="005935A7">
      <w:pPr>
        <w:ind w:right="183"/>
        <w:rPr>
          <w:rFonts w:ascii="Arial" w:hAnsi="Arial" w:cs="Arial"/>
          <w:bCs/>
        </w:rPr>
      </w:pPr>
    </w:p>
    <w:p w:rsidR="002253CC" w:rsidRDefault="00334565" w:rsidP="005935A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Julie Carter</w:t>
      </w:r>
      <w:r w:rsidR="005239DB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</w:p>
    <w:p w:rsidR="005239DB" w:rsidRPr="004B43D9" w:rsidRDefault="00334565" w:rsidP="005935A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Finance</w:t>
      </w:r>
      <w:r w:rsidR="009742FA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  <w:r w:rsidR="004B43D9">
        <w:rPr>
          <w:rFonts w:ascii="Arial" w:hAnsi="Arial" w:cs="Arial"/>
          <w:b/>
          <w:bCs/>
        </w:rPr>
        <w:tab/>
      </w:r>
    </w:p>
    <w:p w:rsidR="005935A7" w:rsidRDefault="00614B64" w:rsidP="005935A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12 </w:t>
      </w:r>
      <w:r w:rsidR="00DA2D59">
        <w:rPr>
          <w:rFonts w:ascii="Arial" w:hAnsi="Arial" w:cs="Arial"/>
          <w:b/>
        </w:rPr>
        <w:t>November</w:t>
      </w:r>
      <w:r>
        <w:rPr>
          <w:rFonts w:ascii="Arial" w:hAnsi="Arial" w:cs="Arial"/>
          <w:b/>
        </w:rPr>
        <w:t xml:space="preserve"> 2018</w:t>
      </w:r>
      <w:r w:rsidR="004B43D9">
        <w:rPr>
          <w:rFonts w:ascii="Arial" w:hAnsi="Arial" w:cs="Arial"/>
          <w:b/>
        </w:rPr>
        <w:tab/>
      </w:r>
      <w:r w:rsidR="004B43D9">
        <w:rPr>
          <w:rFonts w:ascii="Arial" w:hAnsi="Arial" w:cs="Arial"/>
          <w:b/>
        </w:rPr>
        <w:tab/>
      </w:r>
      <w:r w:rsidR="004B43D9">
        <w:rPr>
          <w:rFonts w:ascii="Arial" w:hAnsi="Arial" w:cs="Arial"/>
          <w:b/>
        </w:rPr>
        <w:tab/>
      </w:r>
      <w:r w:rsidR="004B43D9">
        <w:rPr>
          <w:rFonts w:ascii="Arial" w:hAnsi="Arial" w:cs="Arial"/>
          <w:b/>
        </w:rPr>
        <w:tab/>
      </w:r>
    </w:p>
    <w:p w:rsidR="005935A7" w:rsidRDefault="005935A7" w:rsidP="005935A7">
      <w:pPr>
        <w:ind w:right="183"/>
        <w:rPr>
          <w:rFonts w:ascii="Arial" w:hAnsi="Arial" w:cs="Arial"/>
          <w:b/>
          <w:bCs/>
        </w:rPr>
      </w:pPr>
    </w:p>
    <w:p w:rsidR="00614B64" w:rsidRDefault="005935A7" w:rsidP="005935A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(Brian Laughland,</w:t>
      </w:r>
      <w:r w:rsidRPr="005935A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Head of Procurement)</w:t>
      </w:r>
    </w:p>
    <w:sectPr w:rsidR="00614B64" w:rsidSect="000F2DE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40" w:bottom="1134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132" w:rsidRDefault="001A4132">
      <w:r>
        <w:separator/>
      </w:r>
    </w:p>
  </w:endnote>
  <w:endnote w:type="continuationSeparator" w:id="0">
    <w:p w:rsidR="001A4132" w:rsidRDefault="001A4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Univers 45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A7" w:rsidRDefault="005935A7" w:rsidP="00C24B4E">
    <w:pPr>
      <w:pBdr>
        <w:bottom w:val="single" w:sz="12" w:space="1" w:color="auto"/>
      </w:pBdr>
      <w:jc w:val="center"/>
      <w:rPr>
        <w:rStyle w:val="PageNumber"/>
        <w:rFonts w:ascii="Arial" w:hAnsi="Arial" w:cs="Arial"/>
      </w:rPr>
    </w:pPr>
  </w:p>
  <w:p w:rsidR="005935A7" w:rsidRDefault="005935A7" w:rsidP="00C24B4E">
    <w:pPr>
      <w:jc w:val="center"/>
      <w:rPr>
        <w:rStyle w:val="PageNumber"/>
        <w:rFonts w:ascii="Arial" w:hAnsi="Arial" w:cs="Arial"/>
      </w:rPr>
    </w:pPr>
  </w:p>
  <w:p w:rsidR="00614B64" w:rsidRDefault="00753BE4" w:rsidP="00C24B4E">
    <w:pPr>
      <w:jc w:val="center"/>
      <w:rPr>
        <w:rStyle w:val="PageNumber"/>
        <w:rFonts w:ascii="Arial" w:hAnsi="Arial" w:cs="Arial"/>
      </w:rPr>
    </w:pPr>
    <w:r w:rsidRPr="00513DB0">
      <w:rPr>
        <w:rStyle w:val="PageNumber"/>
        <w:rFonts w:ascii="Arial" w:hAnsi="Arial" w:cs="Arial"/>
      </w:rPr>
      <w:fldChar w:fldCharType="begin"/>
    </w:r>
    <w:r w:rsidR="00614B64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D6647F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5935A7" w:rsidRDefault="005935A7" w:rsidP="00C24B4E">
    <w:pPr>
      <w:jc w:val="center"/>
      <w:rPr>
        <w:rStyle w:val="PageNumber"/>
        <w:rFonts w:ascii="Arial" w:hAnsi="Arial" w:cs="Arial"/>
      </w:rPr>
    </w:pPr>
  </w:p>
  <w:p w:rsidR="005935A7" w:rsidRPr="00513DB0" w:rsidRDefault="005935A7" w:rsidP="00C24B4E">
    <w:pPr>
      <w:jc w:val="center"/>
      <w:rPr>
        <w:rFonts w:ascii="Arial" w:hAnsi="Arial" w:cs="Arial"/>
        <w:sz w:val="20"/>
        <w:szCs w:val="20"/>
      </w:rPr>
    </w:pPr>
  </w:p>
  <w:p w:rsidR="00614B64" w:rsidRDefault="00614B64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B64" w:rsidRPr="00513DB0" w:rsidRDefault="00614B64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753BE4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753BE4" w:rsidRPr="00513DB0">
      <w:rPr>
        <w:rStyle w:val="PageNumber"/>
        <w:rFonts w:ascii="Arial" w:hAnsi="Arial" w:cs="Arial"/>
      </w:rPr>
      <w:fldChar w:fldCharType="separate"/>
    </w:r>
    <w:r w:rsidR="00D6647F">
      <w:rPr>
        <w:rStyle w:val="PageNumber"/>
        <w:rFonts w:ascii="Arial" w:hAnsi="Arial" w:cs="Arial"/>
        <w:noProof/>
      </w:rPr>
      <w:t>1</w:t>
    </w:r>
    <w:r w:rsidR="00753BE4" w:rsidRPr="00513DB0">
      <w:rPr>
        <w:rStyle w:val="PageNumber"/>
        <w:rFonts w:ascii="Arial" w:hAnsi="Arial" w:cs="Arial"/>
      </w:rPr>
      <w:fldChar w:fldCharType="end"/>
    </w:r>
  </w:p>
  <w:p w:rsidR="00614B64" w:rsidRDefault="00614B64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14B64" w:rsidRPr="008F5DB5" w:rsidRDefault="00614B64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614B64" w:rsidRPr="005B69F4" w:rsidRDefault="00614B64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132" w:rsidRDefault="001A4132">
      <w:r>
        <w:separator/>
      </w:r>
    </w:p>
  </w:footnote>
  <w:footnote w:type="continuationSeparator" w:id="0">
    <w:p w:rsidR="001A4132" w:rsidRDefault="001A4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A7" w:rsidRDefault="00D6647F" w:rsidP="005935A7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7.5</w:t>
    </w:r>
  </w:p>
  <w:p w:rsidR="005935A7" w:rsidRDefault="005935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B64" w:rsidRDefault="00D6647F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7.5</w:t>
    </w:r>
  </w:p>
  <w:p w:rsidR="005935A7" w:rsidRPr="00CF6461" w:rsidRDefault="005935A7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3FDE5817"/>
    <w:multiLevelType w:val="hybridMultilevel"/>
    <w:tmpl w:val="69A086A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CD34A20"/>
    <w:multiLevelType w:val="hybridMultilevel"/>
    <w:tmpl w:val="FB3A79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41E69DC"/>
    <w:multiLevelType w:val="hybridMultilevel"/>
    <w:tmpl w:val="0186A97E"/>
    <w:lvl w:ilvl="0" w:tplc="76AC167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"/>
  </w:num>
  <w:num w:numId="5">
    <w:abstractNumId w:val="3"/>
  </w:num>
  <w:num w:numId="6">
    <w:abstractNumId w:val="10"/>
  </w:num>
  <w:num w:numId="7">
    <w:abstractNumId w:val="18"/>
  </w:num>
  <w:num w:numId="8">
    <w:abstractNumId w:val="0"/>
  </w:num>
  <w:num w:numId="9">
    <w:abstractNumId w:val="17"/>
  </w:num>
  <w:num w:numId="10">
    <w:abstractNumId w:val="8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2"/>
  </w:num>
  <w:num w:numId="18">
    <w:abstractNumId w:val="2"/>
  </w:num>
  <w:num w:numId="19">
    <w:abstractNumId w:val="11"/>
  </w:num>
  <w:num w:numId="20">
    <w:abstractNumId w:val="1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011DA"/>
    <w:rsid w:val="00061CDE"/>
    <w:rsid w:val="00075AAA"/>
    <w:rsid w:val="00091281"/>
    <w:rsid w:val="00097EAE"/>
    <w:rsid w:val="000B5923"/>
    <w:rsid w:val="000D0952"/>
    <w:rsid w:val="000F2DE3"/>
    <w:rsid w:val="00115F97"/>
    <w:rsid w:val="001175E5"/>
    <w:rsid w:val="001A2906"/>
    <w:rsid w:val="001A4132"/>
    <w:rsid w:val="001D6512"/>
    <w:rsid w:val="002253CC"/>
    <w:rsid w:val="002A42DD"/>
    <w:rsid w:val="0031078B"/>
    <w:rsid w:val="00334565"/>
    <w:rsid w:val="003B396D"/>
    <w:rsid w:val="003E423D"/>
    <w:rsid w:val="003F19CA"/>
    <w:rsid w:val="00421B2A"/>
    <w:rsid w:val="004512CE"/>
    <w:rsid w:val="00457D74"/>
    <w:rsid w:val="004B43D9"/>
    <w:rsid w:val="004E4C3F"/>
    <w:rsid w:val="00513DB0"/>
    <w:rsid w:val="005239DB"/>
    <w:rsid w:val="00526532"/>
    <w:rsid w:val="005935A7"/>
    <w:rsid w:val="005B4BA8"/>
    <w:rsid w:val="005B69F4"/>
    <w:rsid w:val="005F02B7"/>
    <w:rsid w:val="0060634D"/>
    <w:rsid w:val="00614B64"/>
    <w:rsid w:val="00661EF1"/>
    <w:rsid w:val="006A1357"/>
    <w:rsid w:val="006D6F99"/>
    <w:rsid w:val="00711E7A"/>
    <w:rsid w:val="00753976"/>
    <w:rsid w:val="00753BE4"/>
    <w:rsid w:val="007B4090"/>
    <w:rsid w:val="00800C3B"/>
    <w:rsid w:val="00815350"/>
    <w:rsid w:val="00825B2D"/>
    <w:rsid w:val="00844E0E"/>
    <w:rsid w:val="00881D00"/>
    <w:rsid w:val="008A07AE"/>
    <w:rsid w:val="008C26A2"/>
    <w:rsid w:val="0093700B"/>
    <w:rsid w:val="00937BE5"/>
    <w:rsid w:val="009742FA"/>
    <w:rsid w:val="00974594"/>
    <w:rsid w:val="009824A5"/>
    <w:rsid w:val="009E6A39"/>
    <w:rsid w:val="00A2577B"/>
    <w:rsid w:val="00A3124D"/>
    <w:rsid w:val="00A560AF"/>
    <w:rsid w:val="00A6188D"/>
    <w:rsid w:val="00A81D5B"/>
    <w:rsid w:val="00AE7A93"/>
    <w:rsid w:val="00B05D2B"/>
    <w:rsid w:val="00C0017D"/>
    <w:rsid w:val="00C24B4E"/>
    <w:rsid w:val="00C36974"/>
    <w:rsid w:val="00C956E2"/>
    <w:rsid w:val="00CA6DDF"/>
    <w:rsid w:val="00CE4B72"/>
    <w:rsid w:val="00CF1D80"/>
    <w:rsid w:val="00CF6461"/>
    <w:rsid w:val="00D05F2C"/>
    <w:rsid w:val="00D306B6"/>
    <w:rsid w:val="00D6647F"/>
    <w:rsid w:val="00D80448"/>
    <w:rsid w:val="00D92AA6"/>
    <w:rsid w:val="00DA2D59"/>
    <w:rsid w:val="00DC7F0A"/>
    <w:rsid w:val="00DD6B58"/>
    <w:rsid w:val="00DD7115"/>
    <w:rsid w:val="00DE5902"/>
    <w:rsid w:val="00E04765"/>
    <w:rsid w:val="00E24BFC"/>
    <w:rsid w:val="00E95856"/>
    <w:rsid w:val="00EA4869"/>
    <w:rsid w:val="00EB44BB"/>
    <w:rsid w:val="00EB7C07"/>
    <w:rsid w:val="00F12826"/>
    <w:rsid w:val="00F459C0"/>
    <w:rsid w:val="00F7206C"/>
    <w:rsid w:val="00FD5E76"/>
    <w:rsid w:val="00FE14F0"/>
    <w:rsid w:val="00FE3A34"/>
    <w:rsid w:val="00FF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81D00"/>
    <w:pPr>
      <w:autoSpaceDE w:val="0"/>
      <w:autoSpaceDN w:val="0"/>
      <w:adjustRightInd w:val="0"/>
    </w:pPr>
    <w:rPr>
      <w:rFonts w:ascii="Univers 45 Light" w:hAnsi="Univers 45 Light" w:cs="Univers 45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BE169-5D3F-4B33-B73A-1EC2DD51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6</cp:revision>
  <cp:lastPrinted>2018-11-15T09:45:00Z</cp:lastPrinted>
  <dcterms:created xsi:type="dcterms:W3CDTF">2018-11-16T10:07:00Z</dcterms:created>
  <dcterms:modified xsi:type="dcterms:W3CDTF">2018-11-29T14:33:00Z</dcterms:modified>
</cp:coreProperties>
</file>